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6E" w:rsidRPr="006F1B43" w:rsidRDefault="0018726E" w:rsidP="0018726E">
      <w:pPr>
        <w:spacing w:before="242" w:after="121" w:line="240" w:lineRule="auto"/>
        <w:ind w:left="363" w:right="36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6F1B43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t xml:space="preserve"> 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br/>
      </w:r>
      <w:r w:rsidRPr="006F1B43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Наказ Міністерства освіти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t xml:space="preserve"> 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br/>
      </w:r>
      <w:r w:rsidRPr="006F1B43">
        <w:rPr>
          <w:rFonts w:ascii="Times New Roman" w:hAnsi="Times New Roman"/>
          <w:bCs/>
          <w:color w:val="000000"/>
          <w:sz w:val="28"/>
          <w:szCs w:val="28"/>
          <w:lang w:eastAsia="uk-UA"/>
        </w:rPr>
        <w:t>і науки України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t xml:space="preserve"> 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br/>
      </w:r>
      <w:r w:rsidRPr="006F1B43">
        <w:rPr>
          <w:rFonts w:ascii="Times New Roman" w:hAnsi="Times New Roman"/>
          <w:bCs/>
          <w:color w:val="000000"/>
          <w:sz w:val="28"/>
          <w:szCs w:val="28"/>
          <w:lang w:eastAsia="uk-UA"/>
        </w:rPr>
        <w:t>17.05.2013  № 546</w:t>
      </w:r>
    </w:p>
    <w:p w:rsidR="0018726E" w:rsidRPr="006F1B43" w:rsidRDefault="0018726E" w:rsidP="0018726E">
      <w:pPr>
        <w:spacing w:before="242" w:after="121" w:line="240" w:lineRule="auto"/>
        <w:ind w:left="363" w:right="36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6F1B43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Зареєстровано в Міністерстві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t xml:space="preserve"> 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br/>
      </w:r>
      <w:r w:rsidRPr="006F1B43">
        <w:rPr>
          <w:rFonts w:ascii="Times New Roman" w:hAnsi="Times New Roman"/>
          <w:bCs/>
          <w:color w:val="000000"/>
          <w:sz w:val="28"/>
          <w:szCs w:val="28"/>
          <w:lang w:eastAsia="uk-UA"/>
        </w:rPr>
        <w:t>юстиції України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t xml:space="preserve"> 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br/>
      </w:r>
      <w:r w:rsidRPr="006F1B43">
        <w:rPr>
          <w:rFonts w:ascii="Times New Roman" w:hAnsi="Times New Roman"/>
          <w:bCs/>
          <w:color w:val="000000"/>
          <w:sz w:val="28"/>
          <w:szCs w:val="28"/>
          <w:lang w:eastAsia="uk-UA"/>
        </w:rPr>
        <w:t>1 червня 2013 р.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t xml:space="preserve"> </w:t>
      </w:r>
      <w:r w:rsidRPr="006F1B43">
        <w:rPr>
          <w:rFonts w:ascii="Arial" w:hAnsi="Arial" w:cs="Arial"/>
          <w:color w:val="000000"/>
          <w:sz w:val="28"/>
          <w:szCs w:val="28"/>
          <w:lang w:eastAsia="uk-UA"/>
        </w:rPr>
        <w:br/>
      </w:r>
      <w:r w:rsidRPr="006F1B43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№ 842/23374</w:t>
      </w:r>
    </w:p>
    <w:p w:rsidR="0018726E" w:rsidRPr="006F1B43" w:rsidRDefault="0018726E" w:rsidP="0018726E">
      <w:pPr>
        <w:spacing w:before="242" w:after="121" w:line="240" w:lineRule="auto"/>
        <w:ind w:left="363" w:right="36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8726E" w:rsidRPr="006F1B43" w:rsidRDefault="0018726E" w:rsidP="0018726E">
      <w:pPr>
        <w:spacing w:before="242" w:after="121" w:line="240" w:lineRule="auto"/>
        <w:ind w:left="363" w:right="36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8726E" w:rsidRPr="006F1B43" w:rsidRDefault="0018726E" w:rsidP="0018726E">
      <w:pPr>
        <w:spacing w:before="242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Всеукраїнський інтерактивний конкурс "</w:t>
      </w:r>
      <w:proofErr w:type="spellStart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МАН-Юніор</w:t>
      </w:r>
      <w:proofErr w:type="spellEnd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Дослідник"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0" w:name="n14"/>
      <w:bookmarkEnd w:id="0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" w:name="n15"/>
      <w:bookmarkEnd w:id="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1.1. Це Положення визначає порядок проведення Всеукраїнського інтерактивного конкурсу "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МАН-Юніор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Дослідник" (далі - Конкурс).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" w:name="n16"/>
      <w:bookmarkEnd w:id="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1.2. Конкурс проводиться щороку з метою виявлення та підтримки обдарованої молоді, залучення її до науково-дослідницької діяльності та винахідництва.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" w:name="n17"/>
      <w:bookmarkEnd w:id="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1.3. Завданнями Конкурсу є: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" w:name="n18"/>
      <w:bookmarkEnd w:id="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залучення учнів (вихованців) 7-10 класів загальноосвітніх навчальних закладів, вихованців (учнів, слухачів) позашкільних навчальних закладів (далі - учасники) до поглибленого вивчення фізико-математичних, технічних і природничих дисциплін, а також історії розвитку науки;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" w:name="n19"/>
      <w:bookmarkEnd w:id="5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активізація пошуково-дослідницької діяльності учасників, залучення їх до гуртків і секцій наукових відділень Малої академії наук України (далі - МАНУ);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" w:name="n20"/>
      <w:bookmarkEnd w:id="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стимулювання творчого самовдосконалення учасників;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" w:name="n21"/>
      <w:bookmarkEnd w:id="7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формування екологічної свідомості учасників.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" w:name="n22"/>
      <w:bookmarkEnd w:id="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1.4. Конкурс проводиться на добровільних засадах та є відкритим для учнів (вихованців) 7-10 класів загальноосвітніх навчальних закладів і вихованців (учнів, слухачів) позашкільних навчальних закладів.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" w:name="n23"/>
      <w:bookmarkEnd w:id="9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1.5. Організаційно-методичне забезпечення проведення Конкурсу здійснює Національний центр "Мала академія наук України" (далі - НЦ "МАНУ").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0" w:name="n24"/>
      <w:bookmarkEnd w:id="10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Співорганізаторами Конкурсу можуть бути вищі навчальні заклади, підприємства, установи, організації (за згодою).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1" w:name="n25"/>
      <w:bookmarkEnd w:id="1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1.6. Інформація про проведення Конкурсу розміщується на офіційних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веб-сайтах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Міністерства освіти і науки України (далі - МОН України) та НЦ "МАНУ", а також у засобах масової інформації не пізніше ніж за один місяць до початку його проведення.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2" w:name="n26"/>
      <w:bookmarkEnd w:id="1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1.7. Під час проведення Конкурсу обробка персональних даних учасників здійснюється з урахуванням вимог </w:t>
      </w:r>
      <w:hyperlink r:id="rId4" w:tgtFrame="_blank" w:history="1">
        <w:r w:rsidRPr="006F1B43">
          <w:rPr>
            <w:rFonts w:ascii="Times New Roman" w:hAnsi="Times New Roman"/>
            <w:color w:val="000000"/>
            <w:sz w:val="28"/>
            <w:szCs w:val="28"/>
            <w:lang w:eastAsia="uk-UA"/>
          </w:rPr>
          <w:t>Закону України "Про захист персональних даних"</w:t>
        </w:r>
      </w:hyperlink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3" w:name="n27"/>
      <w:bookmarkEnd w:id="13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ІІ. Порядок і строки проведення Конкурсу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4" w:name="n28"/>
      <w:bookmarkEnd w:id="1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2.1. Конкурс проводиться у два етапи: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5" w:name="n29"/>
      <w:bookmarkEnd w:id="15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І етап - заочний;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6" w:name="n30"/>
      <w:bookmarkEnd w:id="1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ІІ етап - захист проекту в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онлайн-режимі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допомогою мережі Інтернет або очно на базі визначених організаційним комітетом територіальних відділень МАНУ за погодженням із учасниками та їх керівниками.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7" w:name="n31"/>
      <w:bookmarkEnd w:id="17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2.2. Строки проведення Конкурсу, щорічна тематика та номінації визначаються МОН України та повідомляються листом органу виконавчої влади Автономної Республіки Крим у сфері освіти, місцевим органам управління освітою в областях, містах Києві та Севастополі не пізніше ніж за один місяць до початку Конкурсу.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8" w:name="n32"/>
      <w:bookmarkEnd w:id="1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2.3. Інформаційні матеріали Конкурсу розміщуються на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веб-сайтах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www.man.gov.ua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http://man-junior.org.ua (далі - сайти Конкурсу), а також у </w:t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засобах масової інформації не пізніше ніж за один місяць до початку проведення Конкурсу.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9" w:name="n33"/>
      <w:bookmarkEnd w:id="19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2.4. Для участі в І етапі Конкурсу необхідно надіслати на електронну адресу junior.konkurs@gmail.com або на компакт-диску на поштову адресу організаційного комітету не пізніше ніж за 2 тижні до їх оприлюднення на сайтах Конкурсу такі документи:</w:t>
      </w:r>
    </w:p>
    <w:bookmarkStart w:id="20" w:name="n34"/>
    <w:bookmarkEnd w:id="20"/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fldChar w:fldCharType="begin"/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instrText xml:space="preserve"> HYPERLINK "http://zakon3.rada.gov.ua/laws/show/z0842-13/print1378206698616136" \l "n113" </w:instrText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fldChar w:fldCharType="separate"/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заявку на участь у І етапі Всеукраїнського інтерактивного конкурсу "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МАН-Юніор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Дослідник"</w:t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fldChar w:fldCharType="end"/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формою, що додається;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1" w:name="n35"/>
      <w:bookmarkEnd w:id="2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проект, оформлений у форматі презентації в програмі "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Power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Point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";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2" w:name="n36"/>
      <w:bookmarkEnd w:id="2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тези творчої роботи.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3" w:name="n37"/>
      <w:bookmarkEnd w:id="2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2.5. Презентації та тези творчих робіт розміщуються на сайтах Конкурсу для відкритого рейтингового оцінювання.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4" w:name="n38"/>
      <w:bookmarkEnd w:id="2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У відкритому рейтинговому оцінюванні творчих робіт беруть участь усі керівники учасників, роботи яких представлені на Конкурсі.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5" w:name="n39"/>
      <w:bookmarkEnd w:id="25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Керівники мають право оцінювати всі творчі роботи, окрім тих, які виконували їхні учні.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6" w:name="n40"/>
      <w:bookmarkEnd w:id="2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2.6. Оцінювання проектів здійснюється за такими критеріями: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7" w:name="n41"/>
      <w:bookmarkEnd w:id="27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відповідність темі Конкурсу - до 2 балів;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8" w:name="n42"/>
      <w:bookmarkEnd w:id="2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послідовність, логічність, науковість викладу - до 3 балів;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29" w:name="n43"/>
      <w:bookmarkEnd w:id="29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оригінальність, самостійність виконання, особистий внесок автора - до 4 балів;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0" w:name="n44"/>
      <w:bookmarkEnd w:id="30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грамотність та якість оформлення - до 1 бала.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1" w:name="n45"/>
      <w:bookmarkEnd w:id="3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Максимальна сума балів, яку може отримати учасник від одного експерта в результаті заочного оцінювання проекту, - 10 балів.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2" w:name="n46"/>
      <w:bookmarkEnd w:id="3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Загальна оцінка, яку може отримати учасник за заочне рейтингове оцінювання творчої роботи, визначається автоматично як середнє арифметичне з усіх оцінок, виставлених за творчу роботу.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3" w:name="n47"/>
      <w:bookmarkEnd w:id="3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2.7. До участі в ІІ етапі Конкурсу запрошуються автори творчих робіт, які за підсумками відкритого рейтингового оцінювання отримали не менше ніж 5 балів.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4" w:name="n48"/>
      <w:bookmarkEnd w:id="3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Список учасників ІІ етапу Конкурсу оприлюднюється на сайтах Конкурсу не пізніше ніж через п’ять днів після завершення І етапу.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5" w:name="n49"/>
      <w:bookmarkEnd w:id="35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ІІІ. Учасники Конкурсу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6" w:name="n50"/>
      <w:bookmarkEnd w:id="3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3.1. У Конкурсі беруть участь учні (вихованці) 7-10 класів загальноосвітніх навчальних закладів і вихованці (учні, слухачі) позашкільних навчальних закладів.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7" w:name="n51"/>
      <w:bookmarkEnd w:id="37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3.2. Учасники мають право ознайомитись з результатами Конкурсу та висловити свої зауваження і побажання щодо його проведення, змісту завдань, результатів Конкурсу.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8" w:name="n52"/>
      <w:bookmarkEnd w:id="3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3.3. Учасники зобов’язані дотримуватись вимог цього Положення, програми Конкурсу, норм поведінки та правил техніки безпеки.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39" w:name="n53"/>
      <w:bookmarkEnd w:id="39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IV. Організаційний комітет Конкурсу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0" w:name="n54"/>
      <w:bookmarkEnd w:id="40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4.1. Для організації та проведення Конкурсу створюється наказом НЦ "МАНУ" організаційний комітет.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1" w:name="n55"/>
      <w:bookmarkEnd w:id="4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4.2. До складу організаційного комітету входять представники МОН України, НЦ "МАНУ", позашкільних і вищих навчальних закладів, представники установ, підприємств, організацій (за згодою).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2" w:name="n56"/>
      <w:bookmarkEnd w:id="4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4.3. Очолює організаційний комітет голова.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3" w:name="n57"/>
      <w:bookmarkEnd w:id="4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4.4. Голова організаційного комітету: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4" w:name="n58"/>
      <w:bookmarkEnd w:id="4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визначає та розподіляє повноваження членів організаційного комітету, здійснює загальне керівництво підготовкою Конкурсу;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5" w:name="n59"/>
      <w:bookmarkEnd w:id="45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керує поточною роботою з організації, підготовки та проведення Конкурсу, здійснює його координацію.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6" w:name="n60"/>
      <w:bookmarkEnd w:id="4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4.5. Члени організаційного комітету: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7" w:name="n61"/>
      <w:bookmarkEnd w:id="47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здійснюють організаційну роботу щодо проведення Конкурсу;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8" w:name="n62"/>
      <w:bookmarkEnd w:id="4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забезпечують дотримання порядку проведення Конкурсу.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9" w:name="n63"/>
      <w:bookmarkEnd w:id="49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4.6. Секретар організаційного комітету: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0" w:name="n64"/>
      <w:bookmarkEnd w:id="50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оформляє документацію щодо проведення та підбиття підсумків Конкурсу;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1" w:name="n65"/>
      <w:bookmarkEnd w:id="5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сприяє висвітленню результатів Конкурсу в засобах масової інформації.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2" w:name="n66"/>
      <w:bookmarkEnd w:id="52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V. Журі Конкурсу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3" w:name="n67"/>
      <w:bookmarkEnd w:id="5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5.1. Журі Конкурсу формується організаційним комітетом Конкурсу з метою забезпечення об’єктивності оцінювання творчих проектів його учасників та визначення переможців і призерів.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4" w:name="n68"/>
      <w:bookmarkEnd w:id="5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5.2. Журі Конкурсу формується з числа наукових і педагогічних працівників загальноосвітніх, позашкільних і вищих навчальних закладів, а також студентів, які мають досвід проведення дослідницької роботи та були в школі активними членами МАНУ (за згодою).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5" w:name="n69"/>
      <w:bookmarkEnd w:id="55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5.3. Журі Конкурсу аналізує рівень підготовки учасників, готує подання організаційному комітету про нагородження переможців, складає відповідний звіт.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6" w:name="n70"/>
      <w:bookmarkEnd w:id="5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5.4. До складу журі з кожної номінації Конкурсу входять: голова журі, члени та секретар журі.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7" w:name="n71"/>
      <w:bookmarkEnd w:id="57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5.5. Склад журі затверджується наказом НЦ "МАНУ".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8" w:name="n72"/>
      <w:bookmarkEnd w:id="5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До складу журі не можуть входити близькі особи учасників Конкурсу.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59" w:name="n73"/>
      <w:bookmarkEnd w:id="59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5.6. Журі з кожної номінації Конкурсу очолює голова.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0" w:name="n74"/>
      <w:bookmarkEnd w:id="60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Голова журі: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1" w:name="n75"/>
      <w:bookmarkEnd w:id="6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організовує роботу членів журі;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2" w:name="n76"/>
      <w:bookmarkEnd w:id="6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проводить засідання журі;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3" w:name="n77"/>
      <w:bookmarkEnd w:id="6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бере участь у визначенні переможців і призерів Конкурсу;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4" w:name="n78"/>
      <w:bookmarkEnd w:id="6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затверджує список переможців і призерів Конкурсу.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5" w:name="n79"/>
      <w:bookmarkEnd w:id="65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5.7. Члени журі: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6" w:name="n80"/>
      <w:bookmarkEnd w:id="6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беруть участь в оцінюванні творчих робіт (проектів) учасників Конкурсу;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7" w:name="n81"/>
      <w:bookmarkEnd w:id="67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заповнюють оцінювальні протоколи;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8" w:name="n82"/>
      <w:bookmarkEnd w:id="6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визначають переможців та призерів Конкурсу.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69" w:name="n83"/>
      <w:bookmarkEnd w:id="69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5.8. Секретар журі: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0" w:name="n84"/>
      <w:bookmarkEnd w:id="70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забезпечує збереження поданих на Конкурс матеріалів;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1" w:name="n85"/>
      <w:bookmarkEnd w:id="7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забезпечує систематизацію та оформлення документації Конкурсу.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2" w:name="n86"/>
      <w:bookmarkEnd w:id="72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VІ. Вимоги до проектів і тез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3" w:name="n87"/>
      <w:bookmarkEnd w:id="7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6.1. Вимоги до проектів: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4" w:name="n88"/>
      <w:bookmarkEnd w:id="7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6.1.1. Учасник Конкурсу готує проект на обрану тему, що відповідає оголошеній заздалегідь організаційним комітетом загальній тематиці. При цьому проекти повинні бути присвячені проблемі або задачі, що є складовими теми Конкурсу. У проектах можна представляти цікаві експерименти, досліди, прилади та пристрої, винаходи, удосконалення технічних систем, методик досліджень та інше.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5" w:name="n89"/>
      <w:bookmarkEnd w:id="75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6.1.2. Проект повинен містити висновки, аналіз проведеної роботи та отримані результати реалізації проекту; список використаних джерел.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6" w:name="n90"/>
      <w:bookmarkEnd w:id="7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6.1.3. Проекти можуть бути виконані та представлені групою учасників конкурсу. З доповіддю на on-line-захисті в цьому разі виступають представники групи (не більше ніж 1-3 учасники).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7" w:name="n91"/>
      <w:bookmarkEnd w:id="77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6.1.4. Проект оформляється у формі презентації в програмі "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Power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Point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". Кількість слайдів у презентації - не більше 15.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8" w:name="n92"/>
      <w:bookmarkEnd w:id="7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6.2. Вимоги до тез: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79" w:name="n93"/>
      <w:bookmarkEnd w:id="79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6.2.1. До презентації додаються тези проекту, де зазначаються: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0" w:name="n94"/>
      <w:bookmarkEnd w:id="80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тема проекту;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1" w:name="n95"/>
      <w:bookmarkEnd w:id="8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прізвище, ім’я та по батькові автора проекту; номер контактного телефону; електронна адреса;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2" w:name="n96"/>
      <w:bookmarkEnd w:id="8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місце проживання;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3" w:name="n97"/>
      <w:bookmarkEnd w:id="8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найменування навчального закладу, клас;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4" w:name="n98"/>
      <w:bookmarkEnd w:id="8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стисла характеристика змісту проекту з визначенням основної мети, актуальності та завдань дослідження;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5" w:name="n99"/>
      <w:bookmarkEnd w:id="85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прізвище, ім’я та по батькові посада (за наявності - науковий ступінь, учене звання) керівника, місце роботи, посада.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6" w:name="n100"/>
      <w:bookmarkEnd w:id="8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6.2.2. Об’єм тез не повинен перевищувати двох сторінок (4000 друкованих символів шрифтом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Times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New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Roman</w:t>
      </w:r>
      <w:proofErr w:type="spellEnd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, 14; інтервал - 1,5).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7" w:name="n101"/>
      <w:bookmarkEnd w:id="87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VІІ. Визначення та нагородження переможців Конкурсу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8" w:name="n102"/>
      <w:bookmarkEnd w:id="8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7.1. Переможці та призери Конкурсу визначаються журі у кожній номінації окремо за кількістю набраних ними балів.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89" w:name="n103"/>
      <w:bookmarkEnd w:id="89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7.2. Переможці ІІ етапу Конкурсу, які отримали найбільшу кількість балів (але не більше 50% від загальної кількості учасників ІІ етапу), нагороджуються дипломами НЦ "МАНУ" І, ІІ, ІІІ ступеня.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0" w:name="n104"/>
      <w:bookmarkEnd w:id="90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7.3. Учасники ІІ етапу Конкурсу нагороджуються дипломами учасника.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1" w:name="n105"/>
      <w:bookmarkEnd w:id="91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7.4. Якщо над проектом працювали учасники у складі творчих груп, то дипломами нагороджуються учнівські колективи навчальних закладів, відділень МАНУ.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2" w:name="n106"/>
      <w:bookmarkEnd w:id="9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7.5. Результати проведення Конкурсу затверджуються наказом МОН України.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3" w:name="n107"/>
      <w:bookmarkEnd w:id="9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7.6. Кращі проекти публікуються в науково-педагогічних і науково-художніх виданнях для дітей та юнацтва за підтримки НЦ "МАНУ" (за згодою автора).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4" w:name="n108"/>
      <w:bookmarkEnd w:id="94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7.7. Керівники, які підготували переможців та призерів Конкурсу, відзначаються подяками НЦ "МАНУ".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95" w:name="n109"/>
      <w:bookmarkEnd w:id="95"/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VІІІ. Умови фінансування Конкурсу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6" w:name="n110"/>
      <w:bookmarkEnd w:id="96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tbl>
      <w:tblPr>
        <w:tblW w:w="5000" w:type="pct"/>
        <w:tblLook w:val="04A0"/>
      </w:tblPr>
      <w:tblGrid>
        <w:gridCol w:w="4138"/>
        <w:gridCol w:w="5715"/>
      </w:tblGrid>
      <w:tr w:rsidR="0018726E" w:rsidRPr="006F1B43" w:rsidTr="005253FC">
        <w:tc>
          <w:tcPr>
            <w:tcW w:w="2100" w:type="pct"/>
            <w:shd w:val="clear" w:color="auto" w:fill="auto"/>
          </w:tcPr>
          <w:p w:rsidR="0018726E" w:rsidRPr="006F1B43" w:rsidRDefault="0018726E" w:rsidP="005253FC">
            <w:pPr>
              <w:spacing w:before="242" w:after="121" w:line="36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97" w:name="n111"/>
            <w:bookmarkEnd w:id="97"/>
            <w:r w:rsidRPr="006F1B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Директор департаменту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6F1B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професійно-технічної освіти</w:t>
            </w:r>
          </w:p>
        </w:tc>
        <w:tc>
          <w:tcPr>
            <w:tcW w:w="3500" w:type="pct"/>
            <w:shd w:val="clear" w:color="auto" w:fill="auto"/>
          </w:tcPr>
          <w:p w:rsidR="0018726E" w:rsidRPr="006F1B43" w:rsidRDefault="0018726E" w:rsidP="005253FC">
            <w:pPr>
              <w:spacing w:before="242" w:after="121" w:line="360" w:lineRule="auto"/>
              <w:ind w:right="-2"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6F1B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В.В. Супрун</w:t>
            </w:r>
          </w:p>
        </w:tc>
      </w:tr>
    </w:tbl>
    <w:p w:rsidR="0018726E" w:rsidRPr="006F1B43" w:rsidRDefault="0018726E" w:rsidP="0018726E">
      <w:pPr>
        <w:spacing w:before="48" w:after="48" w:line="360" w:lineRule="auto"/>
        <w:ind w:right="-2" w:firstLine="709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98" w:name="n121"/>
      <w:bookmarkEnd w:id="98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9" w:name="n120"/>
      <w:bookmarkEnd w:id="99"/>
    </w:p>
    <w:tbl>
      <w:tblPr>
        <w:tblW w:w="5000" w:type="pct"/>
        <w:tblLook w:val="04A0"/>
      </w:tblPr>
      <w:tblGrid>
        <w:gridCol w:w="5216"/>
        <w:gridCol w:w="4637"/>
      </w:tblGrid>
      <w:tr w:rsidR="0018726E" w:rsidRPr="006F1B43" w:rsidTr="005253FC">
        <w:tc>
          <w:tcPr>
            <w:tcW w:w="2250" w:type="pct"/>
            <w:shd w:val="clear" w:color="auto" w:fill="auto"/>
          </w:tcPr>
          <w:p w:rsidR="0018726E" w:rsidRPr="006F1B43" w:rsidRDefault="0018726E" w:rsidP="005253FC">
            <w:pPr>
              <w:spacing w:before="121" w:after="121" w:line="360" w:lineRule="auto"/>
              <w:ind w:right="-2" w:firstLine="709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00" w:name="n112"/>
            <w:bookmarkEnd w:id="100"/>
          </w:p>
        </w:tc>
        <w:tc>
          <w:tcPr>
            <w:tcW w:w="2000" w:type="pct"/>
            <w:shd w:val="clear" w:color="auto" w:fill="auto"/>
          </w:tcPr>
          <w:p w:rsidR="0018726E" w:rsidRDefault="0018726E" w:rsidP="005253FC">
            <w:pPr>
              <w:spacing w:before="121" w:after="121" w:line="360" w:lineRule="auto"/>
              <w:ind w:right="-2" w:firstLine="709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18726E" w:rsidRDefault="0018726E" w:rsidP="005253FC">
            <w:pPr>
              <w:spacing w:before="121" w:after="121" w:line="360" w:lineRule="auto"/>
              <w:ind w:right="-2" w:firstLine="709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18726E" w:rsidRPr="006F1B43" w:rsidRDefault="0018726E" w:rsidP="005253FC">
            <w:pPr>
              <w:spacing w:before="121" w:after="121" w:line="360" w:lineRule="auto"/>
              <w:ind w:right="-2" w:firstLine="709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до Положення про Всеукраїнський 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інтерактивний конкурс 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"</w:t>
            </w:r>
            <w:proofErr w:type="spellStart"/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МАН-Юніор</w:t>
            </w:r>
            <w:proofErr w:type="spellEnd"/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Дослідник"</w:t>
            </w:r>
          </w:p>
        </w:tc>
      </w:tr>
    </w:tbl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01" w:name="n113"/>
      <w:bookmarkEnd w:id="101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 xml:space="preserve">ЗАЯВКА </w:t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участь у І етапі Всеукраїнського інтерактивного конкурсу "</w:t>
      </w:r>
      <w:proofErr w:type="spellStart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МАН-Юніор</w:t>
      </w:r>
      <w:proofErr w:type="spellEnd"/>
      <w:r w:rsidRPr="006F1B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Дослідник"</w:t>
      </w:r>
    </w:p>
    <w:p w:rsidR="0018726E" w:rsidRPr="006F1B43" w:rsidRDefault="0018726E" w:rsidP="0018726E">
      <w:pPr>
        <w:spacing w:before="121" w:after="121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02" w:name="n114"/>
      <w:bookmarkEnd w:id="102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</w:t>
      </w:r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br/>
        <w:t>(найменування навчального закладу)</w:t>
      </w:r>
    </w:p>
    <w:p w:rsidR="0018726E" w:rsidRPr="006F1B43" w:rsidRDefault="0018726E" w:rsidP="0018726E">
      <w:pPr>
        <w:spacing w:after="121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03" w:name="n115"/>
      <w:bookmarkEnd w:id="103"/>
      <w:r w:rsidRPr="006F1B43">
        <w:rPr>
          <w:rFonts w:ascii="Times New Roman" w:hAnsi="Times New Roman"/>
          <w:color w:val="000000"/>
          <w:sz w:val="28"/>
          <w:szCs w:val="28"/>
          <w:lang w:eastAsia="uk-UA"/>
        </w:rPr>
        <w:t>просить дати дозвіл на участь команди у складі: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004"/>
        <w:gridCol w:w="1043"/>
        <w:gridCol w:w="1261"/>
        <w:gridCol w:w="1309"/>
        <w:gridCol w:w="180"/>
        <w:gridCol w:w="1348"/>
        <w:gridCol w:w="2457"/>
      </w:tblGrid>
      <w:tr w:rsidR="0018726E" w:rsidRPr="006F1B43" w:rsidTr="005253FC">
        <w:tc>
          <w:tcPr>
            <w:tcW w:w="568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360" w:lineRule="auto"/>
              <w:ind w:right="-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04" w:name="n116"/>
            <w:bookmarkEnd w:id="104"/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004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360" w:lineRule="auto"/>
              <w:ind w:left="-35" w:right="-16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Найменування номінації конкурсу</w:t>
            </w:r>
          </w:p>
        </w:tc>
        <w:tc>
          <w:tcPr>
            <w:tcW w:w="1043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360" w:lineRule="auto"/>
              <w:ind w:left="-35" w:right="-16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Тема проекту</w:t>
            </w:r>
          </w:p>
        </w:tc>
        <w:tc>
          <w:tcPr>
            <w:tcW w:w="1261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360" w:lineRule="auto"/>
              <w:ind w:left="-35" w:right="-16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ім’я, по батькові учасника</w:t>
            </w:r>
          </w:p>
        </w:tc>
        <w:tc>
          <w:tcPr>
            <w:tcW w:w="1309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360" w:lineRule="auto"/>
              <w:ind w:left="-35" w:right="-16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ім’я, по батькові, посада керівника проекту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8726E" w:rsidRPr="006F1B43" w:rsidRDefault="0018726E" w:rsidP="005253FC">
            <w:pPr>
              <w:spacing w:before="121" w:after="121" w:line="360" w:lineRule="auto"/>
              <w:ind w:left="-35" w:right="-16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Контактний телефон, електронна адреса (за наявності) керівника</w:t>
            </w:r>
          </w:p>
        </w:tc>
        <w:tc>
          <w:tcPr>
            <w:tcW w:w="2457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360" w:lineRule="auto"/>
              <w:ind w:left="-35" w:right="-16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Найменування та місцезнаходження навчального закладу. 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Клас. 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Найменування територіального відділення МАНУ</w:t>
            </w:r>
          </w:p>
        </w:tc>
      </w:tr>
      <w:tr w:rsidR="0018726E" w:rsidRPr="006F1B43" w:rsidTr="005253FC">
        <w:trPr>
          <w:trHeight w:val="207"/>
        </w:trPr>
        <w:tc>
          <w:tcPr>
            <w:tcW w:w="568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3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1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9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57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8726E" w:rsidRPr="006F1B43" w:rsidTr="005253FC">
        <w:tc>
          <w:tcPr>
            <w:tcW w:w="568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3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1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9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57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8726E" w:rsidRPr="006F1B43" w:rsidTr="005253FC">
        <w:tc>
          <w:tcPr>
            <w:tcW w:w="568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3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1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9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57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8726E" w:rsidRPr="006F1B43" w:rsidTr="005253FC">
        <w:tc>
          <w:tcPr>
            <w:tcW w:w="568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3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1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9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57" w:type="dxa"/>
            <w:shd w:val="clear" w:color="auto" w:fill="auto"/>
          </w:tcPr>
          <w:p w:rsidR="0018726E" w:rsidRPr="006F1B43" w:rsidRDefault="0018726E" w:rsidP="005253FC">
            <w:pPr>
              <w:spacing w:before="121" w:after="121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8726E" w:rsidRPr="006F1B43" w:rsidTr="005253FC">
        <w:trPr>
          <w:trHeight w:val="559"/>
        </w:trPr>
        <w:tc>
          <w:tcPr>
            <w:tcW w:w="4876" w:type="dxa"/>
            <w:gridSpan w:val="4"/>
            <w:shd w:val="clear" w:color="auto" w:fill="auto"/>
          </w:tcPr>
          <w:p w:rsidR="0018726E" w:rsidRPr="006F1B43" w:rsidRDefault="0018726E" w:rsidP="005253FC">
            <w:pPr>
              <w:spacing w:after="0" w:line="240" w:lineRule="auto"/>
              <w:ind w:right="-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05" w:name="n117"/>
            <w:bookmarkEnd w:id="105"/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(посада керівника закладу)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18726E" w:rsidRPr="006F1B43" w:rsidRDefault="0018726E" w:rsidP="005253FC">
            <w:pPr>
              <w:spacing w:after="0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(підпис)</w:t>
            </w:r>
          </w:p>
        </w:tc>
        <w:tc>
          <w:tcPr>
            <w:tcW w:w="3805" w:type="dxa"/>
            <w:gridSpan w:val="2"/>
            <w:shd w:val="clear" w:color="auto" w:fill="auto"/>
          </w:tcPr>
          <w:p w:rsidR="0018726E" w:rsidRPr="006F1B43" w:rsidRDefault="0018726E" w:rsidP="005253FC">
            <w:pPr>
              <w:spacing w:after="0" w:line="240" w:lineRule="auto"/>
              <w:ind w:right="-2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_________________ </w:t>
            </w:r>
            <w:r w:rsidRPr="006F1B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(П.І.Б.)</w:t>
            </w:r>
          </w:p>
        </w:tc>
      </w:tr>
    </w:tbl>
    <w:p w:rsidR="0018726E" w:rsidRDefault="0018726E" w:rsidP="0018726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8726E" w:rsidRDefault="0018726E" w:rsidP="0018726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8726E" w:rsidRDefault="0018726E" w:rsidP="0018726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972D48" w:rsidRDefault="00972D48"/>
    <w:sectPr w:rsidR="00972D48" w:rsidSect="00F56144">
      <w:footerReference w:type="default" r:id="rId5"/>
      <w:pgSz w:w="11906" w:h="16838" w:code="9"/>
      <w:pgMar w:top="851" w:right="851" w:bottom="709" w:left="1418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3D" w:rsidRDefault="00C507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6523D" w:rsidRDefault="00C507FD">
    <w:pPr>
      <w:pStyle w:val="a3"/>
    </w:pPr>
  </w:p>
  <w:p w:rsidR="0086523D" w:rsidRDefault="00C507FD"/>
  <w:p w:rsidR="0086523D" w:rsidRDefault="00C507FD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8726E"/>
    <w:rsid w:val="000239B5"/>
    <w:rsid w:val="0018726E"/>
    <w:rsid w:val="005B4B76"/>
    <w:rsid w:val="00697136"/>
    <w:rsid w:val="006A5CB9"/>
    <w:rsid w:val="00972D48"/>
    <w:rsid w:val="00AE3D2E"/>
    <w:rsid w:val="00C507FD"/>
    <w:rsid w:val="00C97316"/>
    <w:rsid w:val="00E8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6E"/>
    <w:rPr>
      <w:rFonts w:ascii="Calibri" w:eastAsia="Times New Roman" w:hAnsi="Calibri" w:cs="Times New Roman"/>
      <w:sz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872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8726E"/>
    <w:rPr>
      <w:rFonts w:ascii="Cambria" w:eastAsia="Times New Roman" w:hAnsi="Cambria" w:cs="Times New Roman"/>
      <w:b/>
      <w:bCs/>
      <w:i/>
      <w:iCs/>
      <w:color w:val="4F81BD"/>
      <w:sz w:val="22"/>
      <w:szCs w:val="20"/>
      <w:lang/>
    </w:rPr>
  </w:style>
  <w:style w:type="paragraph" w:styleId="a3">
    <w:name w:val="footer"/>
    <w:basedOn w:val="a"/>
    <w:link w:val="a4"/>
    <w:uiPriority w:val="99"/>
    <w:rsid w:val="001872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726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zakon3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1597</Words>
  <Characters>9107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2014-10-29T09:36:00Z</dcterms:created>
  <dcterms:modified xsi:type="dcterms:W3CDTF">2014-10-29T09:36:00Z</dcterms:modified>
</cp:coreProperties>
</file>